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E47" w:rsidRDefault="00262F2A">
      <w:pPr>
        <w:widowControl/>
        <w:tabs>
          <w:tab w:val="left" w:pos="567"/>
        </w:tabs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Перечень документов (копии) для юридических лиц.</w:t>
      </w:r>
    </w:p>
    <w:p w:rsidR="00AC4E47" w:rsidRDefault="00AC4E47">
      <w:pPr>
        <w:widowControl/>
        <w:tabs>
          <w:tab w:val="left" w:pos="567"/>
        </w:tabs>
        <w:jc w:val="both"/>
        <w:rPr>
          <w:b/>
          <w:sz w:val="28"/>
          <w:szCs w:val="28"/>
          <w:highlight w:val="white"/>
        </w:rPr>
      </w:pPr>
    </w:p>
    <w:p w:rsidR="00AC4E47" w:rsidRDefault="00262F2A">
      <w:pPr>
        <w:widowControl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выписка из ЕГРЮЛ с датой составления, не превышающей 10 (Тридцать) календарных дней </w:t>
      </w:r>
      <w:r>
        <w:rPr>
          <w:color w:val="000000"/>
          <w:sz w:val="24"/>
          <w:szCs w:val="24"/>
          <w:highlight w:val="white"/>
        </w:rPr>
        <w:t>до даты согласования Договора в ИУС П ГК</w:t>
      </w:r>
      <w:r>
        <w:rPr>
          <w:sz w:val="24"/>
          <w:szCs w:val="24"/>
          <w:highlight w:val="white"/>
        </w:rPr>
        <w:t xml:space="preserve"> (допускается приложение выписки, сформированной с исп</w:t>
      </w:r>
      <w:r>
        <w:rPr>
          <w:sz w:val="24"/>
          <w:szCs w:val="24"/>
          <w:highlight w:val="white"/>
        </w:rPr>
        <w:t>ользованием сервиса «Предоставление сведений из ЕГРЮЛ/ЕГРИП о конкретном юридическом лице/индивидуальном предпринимателе в форме электронного документа», размещенного на официальном сайте ФНС России в сети Интернет по адресу: https://service.nalog.ru/vyp);</w:t>
      </w:r>
    </w:p>
    <w:p w:rsidR="00AC4E47" w:rsidRDefault="00262F2A">
      <w:pPr>
        <w:pStyle w:val="af9"/>
        <w:numPr>
          <w:ilvl w:val="0"/>
          <w:numId w:val="2"/>
        </w:numPr>
        <w:ind w:left="0" w:firstLine="567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 устав (со всеми изменениями);</w:t>
      </w:r>
    </w:p>
    <w:p w:rsidR="00AC4E47" w:rsidRDefault="00262F2A">
      <w:pPr>
        <w:pStyle w:val="af9"/>
        <w:numPr>
          <w:ilvl w:val="0"/>
          <w:numId w:val="3"/>
        </w:numPr>
        <w:ind w:left="0" w:firstLine="567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 свидетельство о государственной регистрации;</w:t>
      </w:r>
    </w:p>
    <w:p w:rsidR="00AC4E47" w:rsidRDefault="00262F2A">
      <w:pPr>
        <w:pStyle w:val="af9"/>
        <w:numPr>
          <w:ilvl w:val="0"/>
          <w:numId w:val="3"/>
        </w:numPr>
        <w:tabs>
          <w:tab w:val="left" w:pos="709"/>
        </w:tabs>
        <w:ind w:left="0" w:firstLine="567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 свидетельство о внесении записи в ЕГРЮЛ о юридическом лице, зарегистрированном до 01.07.2002 (при наличии);</w:t>
      </w:r>
    </w:p>
    <w:p w:rsidR="00AC4E47" w:rsidRDefault="00262F2A">
      <w:pPr>
        <w:pStyle w:val="af9"/>
        <w:numPr>
          <w:ilvl w:val="0"/>
          <w:numId w:val="3"/>
        </w:numPr>
        <w:ind w:left="0" w:firstLine="567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 свидетельство о постановке на учет в налоговом органе;</w:t>
      </w:r>
    </w:p>
    <w:p w:rsidR="00AC4E47" w:rsidRDefault="00262F2A">
      <w:pPr>
        <w:pStyle w:val="af9"/>
        <w:numPr>
          <w:ilvl w:val="0"/>
          <w:numId w:val="3"/>
        </w:numPr>
        <w:ind w:left="0" w:firstLine="567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 приказ о наз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начении главного бухгалтера;</w:t>
      </w:r>
    </w:p>
    <w:p w:rsidR="00AC4E47" w:rsidRDefault="00262F2A">
      <w:pPr>
        <w:pStyle w:val="af9"/>
        <w:numPr>
          <w:ilvl w:val="0"/>
          <w:numId w:val="3"/>
        </w:numPr>
        <w:ind w:left="0" w:firstLine="567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 документ, подтверждающий избрание и назначение исполнительного органа (протокол/решение органа управления Контрагента, приказ о назначении, договор с управляющей организацией);</w:t>
      </w:r>
    </w:p>
    <w:p w:rsidR="00AC4E47" w:rsidRDefault="00262F2A">
      <w:pPr>
        <w:pStyle w:val="af9"/>
        <w:numPr>
          <w:ilvl w:val="0"/>
          <w:numId w:val="3"/>
        </w:numPr>
        <w:ind w:left="0" w:firstLine="567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 сведения о паспортных данных и адресе регистраци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и руководителя;</w:t>
      </w:r>
    </w:p>
    <w:p w:rsidR="00AC4E47" w:rsidRDefault="00262F2A">
      <w:pPr>
        <w:pStyle w:val="af9"/>
        <w:numPr>
          <w:ilvl w:val="0"/>
          <w:numId w:val="3"/>
        </w:numPr>
        <w:ind w:left="0" w:firstLine="567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</w:rPr>
        <w:t> документ, подтверждающий полномочия лица на заключение Договора от имени Контрагента, и копия  всех страниц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его паспорта (с приложением согласия/отказа на обработку персональных данных по форме «Согласие»); </w:t>
      </w:r>
    </w:p>
    <w:p w:rsidR="00AC4E47" w:rsidRDefault="00262F2A">
      <w:pPr>
        <w:pStyle w:val="af9"/>
        <w:numPr>
          <w:ilvl w:val="0"/>
          <w:numId w:val="3"/>
        </w:numPr>
        <w:ind w:left="0" w:firstLine="567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highlight w:val="whit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список участников общества (дл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я организаций, имеющих организационно–правовую форму общества с ограниченной ответственностью) или выписка из реестра акционеров (для акционерных обществ) с указанием информации о руководителе, цепочке собственников, включая бенефициаров (в том числе конеч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ных), с подтверждением соответствующими документами (в соответствии с ЛНА), с учетом следующего:</w:t>
      </w:r>
    </w:p>
    <w:p w:rsidR="00AC4E47" w:rsidRDefault="00262F2A">
      <w:pPr>
        <w:pStyle w:val="af9"/>
        <w:numPr>
          <w:ilvl w:val="0"/>
          <w:numId w:val="3"/>
        </w:numPr>
        <w:ind w:left="0" w:firstLine="567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</w:rPr>
        <w:t>в отношении Контрагента, являющегося зарубежной публичной компанией мирового уровня, занимающей лидирующие позиции в соответствующих отраслях, требование о пре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доставлении информации считается исполненным при наличии информации об акционерах, владеющих более 5 процентами акций,</w:t>
      </w:r>
    </w:p>
    <w:p w:rsidR="00AC4E47" w:rsidRDefault="00262F2A">
      <w:pPr>
        <w:pStyle w:val="af9"/>
        <w:numPr>
          <w:ilvl w:val="0"/>
          <w:numId w:val="3"/>
        </w:numPr>
        <w:ind w:left="0" w:firstLine="567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  <w:highlight w:val="white"/>
        </w:rPr>
        <w:t>в отношении Контрагента, являющегося публичным акционерным обществом, акции которого котируются на биржах, либо обществом с числом акцион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еров более 50, допускается указание данных об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информация). В отношении акционеров, в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ладеющих пакетами акций менее 5 процентов, допускается указание общей информации о количестве таких акционеров;</w:t>
      </w:r>
    </w:p>
    <w:p w:rsidR="00AC4E47" w:rsidRDefault="00262F2A">
      <w:pPr>
        <w:widowControl/>
        <w:numPr>
          <w:ilvl w:val="0"/>
          <w:numId w:val="3"/>
        </w:numPr>
        <w:ind w:left="0"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сведения о составе Совета директоров/Наблюдательного совета и коллегиального исполнительного органа (при наличии); </w:t>
      </w:r>
    </w:p>
    <w:p w:rsidR="00AC4E47" w:rsidRDefault="00262F2A">
      <w:pPr>
        <w:widowControl/>
        <w:numPr>
          <w:ilvl w:val="0"/>
          <w:numId w:val="3"/>
        </w:numPr>
        <w:ind w:left="0"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действующий договор аренды или выписка из Единого государственного реестра прав на недвижимое имущество и, при наличии, свидетельство о праве собственности на офисные и/или производственные  помещения;</w:t>
      </w:r>
    </w:p>
    <w:p w:rsidR="00AC4E47" w:rsidRDefault="00262F2A">
      <w:pPr>
        <w:widowControl/>
        <w:numPr>
          <w:ilvl w:val="0"/>
          <w:numId w:val="3"/>
        </w:numPr>
        <w:ind w:left="0"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 справка об открытии счета в соответствующем банке;</w:t>
      </w:r>
    </w:p>
    <w:p w:rsidR="00AC4E47" w:rsidRDefault="00262F2A">
      <w:pPr>
        <w:widowControl/>
        <w:numPr>
          <w:ilvl w:val="0"/>
          <w:numId w:val="3"/>
        </w:numPr>
        <w:ind w:left="0"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 референция (справка) обслуживающего банка (для бюджетных организаций – референция подразделения Федерального казначейства), со сведениями не позднее 3-х месячной давности до даты согласования Договора, содержащая информацию относительно отсутствия (наличи</w:t>
      </w:r>
      <w:r>
        <w:rPr>
          <w:sz w:val="24"/>
          <w:szCs w:val="24"/>
          <w:highlight w:val="white"/>
        </w:rPr>
        <w:t>я) задолженности по платежам, в т.ч. по исполнению налоговых обязательств (картотеки по внебалансовым счетам № 90901 «Расчетные документы, ожидающие акцепта для оплаты», «Картотека расчетных документов ожидающих разрешения на проведение операций» и № 90902</w:t>
      </w:r>
      <w:r>
        <w:rPr>
          <w:sz w:val="24"/>
          <w:szCs w:val="24"/>
          <w:highlight w:val="white"/>
        </w:rPr>
        <w:t xml:space="preserve"> «Расчетные документы, не оплаченные в срок»), сведения об отсутствии (наличия) ареста по счетам и предоставляется краткая характеристика Контрагента с точки зрения обслуживающего банка. Референция обслуживающего банка должная иметь отметку банка и указани</w:t>
      </w:r>
      <w:r>
        <w:rPr>
          <w:sz w:val="24"/>
          <w:szCs w:val="24"/>
          <w:highlight w:val="white"/>
        </w:rPr>
        <w:t>е на дату выдачи (составления) документа не ранее чем за 3 месяца до даты согласования Договора;</w:t>
      </w:r>
    </w:p>
    <w:p w:rsidR="00AC4E47" w:rsidRDefault="00262F2A">
      <w:pPr>
        <w:widowControl/>
        <w:numPr>
          <w:ilvl w:val="0"/>
          <w:numId w:val="3"/>
        </w:numPr>
        <w:ind w:left="0"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банковская карточка с образцами подписей и оттиском печати (при наличии у Контрагента печати);</w:t>
      </w:r>
    </w:p>
    <w:p w:rsidR="00AC4E47" w:rsidRDefault="00262F2A">
      <w:pPr>
        <w:widowControl/>
        <w:numPr>
          <w:ilvl w:val="0"/>
          <w:numId w:val="3"/>
        </w:numPr>
        <w:ind w:left="0"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 xml:space="preserve"> бухгалтерская отчетность, включающая в себя бухгалтерский бала</w:t>
      </w:r>
      <w:r>
        <w:rPr>
          <w:sz w:val="24"/>
          <w:szCs w:val="24"/>
          <w:highlight w:val="white"/>
        </w:rPr>
        <w:t>нс, отчет о финансовых результатах, отчет о движении денежных средств за истекший расчетный год с отметкой налоговой инспекции (штамп ИФНС или квитанция о приеме с описью почтового отправления, при электронном документообороте: извещение о получении отчета</w:t>
      </w:r>
      <w:r>
        <w:rPr>
          <w:sz w:val="24"/>
          <w:szCs w:val="24"/>
          <w:highlight w:val="white"/>
        </w:rPr>
        <w:t xml:space="preserve">, либо квитанция о приеме, либо извещение о вводе)  в том числе для  организаций, перешедших на упрощённую систему налогообложения согласно Федеральному закону от 06.12.2011 № 402-ФЗ «О бухгалтерском учете». </w:t>
      </w:r>
    </w:p>
    <w:p w:rsidR="00AC4E47" w:rsidRDefault="00262F2A">
      <w:pPr>
        <w:widowControl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Для вновь созданных организаций – бухгалтерская</w:t>
      </w:r>
      <w:r>
        <w:rPr>
          <w:sz w:val="24"/>
          <w:szCs w:val="24"/>
          <w:highlight w:val="white"/>
        </w:rPr>
        <w:t xml:space="preserve"> отчетность, включающая в себя бухгалтерский баланс, отчет о финансовых результатах, за последний отчетный период текущего года, в том числе для  организаций, перешедших на упрощённую систему налогообложения согласно Федеральному закону от 06.12.2011 №402-</w:t>
      </w:r>
      <w:r>
        <w:rPr>
          <w:sz w:val="24"/>
          <w:szCs w:val="24"/>
          <w:highlight w:val="white"/>
        </w:rPr>
        <w:t xml:space="preserve">ФЗ «О бухгалтерском учете». </w:t>
      </w:r>
    </w:p>
    <w:p w:rsidR="00AC4E47" w:rsidRDefault="00262F2A">
      <w:pPr>
        <w:widowControl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Для некоммерческих организаций – бухгалтерская отчетность, включающая в себя бухгалтерский баланс, отчет о целевом использовании средств, за истекший расчетный год с отметкой налоговой инспекции (штамп ИФНС или квитанция о прие</w:t>
      </w:r>
      <w:r>
        <w:rPr>
          <w:sz w:val="24"/>
          <w:szCs w:val="24"/>
          <w:highlight w:val="white"/>
        </w:rPr>
        <w:t xml:space="preserve">ме с описью почтового отправления, при электронном документообороте: извещение о получении отчета, либо квитанция о приеме, либо извещение о вводе), в том числе для организаций, перешедших на упрощённую систему налогообложения согласно Федеральному закону </w:t>
      </w:r>
      <w:r>
        <w:rPr>
          <w:sz w:val="24"/>
          <w:szCs w:val="24"/>
          <w:highlight w:val="white"/>
        </w:rPr>
        <w:t xml:space="preserve">от 06.12.2011 №402-ФЗ «О бухгалтерском учете». </w:t>
      </w:r>
    </w:p>
    <w:p w:rsidR="00AC4E47" w:rsidRDefault="00262F2A">
      <w:pPr>
        <w:widowControl/>
        <w:ind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Для бюджетных  учреждений – копия бухгалтерской отчётности, включающая в себя баланс, отчет о финансовых результатах деятельности, согласно Бюджетному кодексу Российской Федерации, Федеральному закону от 06.1</w:t>
      </w:r>
      <w:r>
        <w:rPr>
          <w:sz w:val="24"/>
          <w:szCs w:val="24"/>
          <w:highlight w:val="white"/>
        </w:rPr>
        <w:t>2.2011 №402-ФЗ «О бухгалтерском учете», Приказу Министерства финансов РФ от 28.12.2010 №191н и иных нормативно-правовых актов РФ;</w:t>
      </w:r>
    </w:p>
    <w:p w:rsidR="00AC4E47" w:rsidRDefault="00262F2A">
      <w:pPr>
        <w:widowControl/>
        <w:numPr>
          <w:ilvl w:val="0"/>
          <w:numId w:val="3"/>
        </w:numPr>
        <w:ind w:left="0"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справка об исполнении налогоплательщиком обязанности по уплате налогов, сборов, страховых взносов, пеней и налоговых санкций </w:t>
      </w:r>
      <w:r>
        <w:rPr>
          <w:sz w:val="24"/>
          <w:szCs w:val="24"/>
          <w:highlight w:val="white"/>
        </w:rPr>
        <w:t>(Код по КНД 1120101), со сведениями из налоговой инспекции актуальностью не более 3-х месяцев до даты согласования Договора. Справка должна иметь отметку налогового органа и указание на дату выдачи (составления) документа;</w:t>
      </w:r>
    </w:p>
    <w:p w:rsidR="00AC4E47" w:rsidRDefault="00262F2A">
      <w:pPr>
        <w:widowControl/>
        <w:numPr>
          <w:ilvl w:val="0"/>
          <w:numId w:val="3"/>
        </w:numPr>
        <w:ind w:left="0"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если это предусмотрено техническ</w:t>
      </w:r>
      <w:r>
        <w:rPr>
          <w:sz w:val="24"/>
          <w:szCs w:val="24"/>
          <w:highlight w:val="white"/>
        </w:rPr>
        <w:t>им заданием и предметом Договора: копии документов, подтверждающих соответствие товара, работ, услуг требованиям, установленным в соответствии с действующими нормативными документами и законодательством Российской Федерации, если в соответствии с ним устан</w:t>
      </w:r>
      <w:r>
        <w:rPr>
          <w:sz w:val="24"/>
          <w:szCs w:val="24"/>
          <w:highlight w:val="white"/>
        </w:rPr>
        <w:t>овлены требования к таким товарам, работам (сертификаты, свидетельства, паспорта и т.д.);</w:t>
      </w:r>
    </w:p>
    <w:p w:rsidR="00AC4E47" w:rsidRDefault="00262F2A">
      <w:pPr>
        <w:widowControl/>
        <w:numPr>
          <w:ilvl w:val="0"/>
          <w:numId w:val="3"/>
        </w:numPr>
        <w:tabs>
          <w:tab w:val="left" w:pos="709"/>
        </w:tabs>
        <w:ind w:left="0"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уведомление о получении Контрагентом согласия (отказа) на обработку персональных данных от физических лиц, учредителей (участников/акционеров) и лица, наделённого по</w:t>
      </w:r>
      <w:r>
        <w:rPr>
          <w:sz w:val="24"/>
          <w:szCs w:val="24"/>
          <w:highlight w:val="white"/>
        </w:rPr>
        <w:t>лномочиями единоличного исполнительного органа Участника (форма «Бенефициары»);</w:t>
      </w:r>
    </w:p>
    <w:p w:rsidR="00AC4E47" w:rsidRDefault="00262F2A">
      <w:pPr>
        <w:widowControl/>
        <w:numPr>
          <w:ilvl w:val="0"/>
          <w:numId w:val="3"/>
        </w:numPr>
        <w:ind w:left="0"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расчёт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</w:t>
      </w:r>
      <w:r>
        <w:rPr>
          <w:sz w:val="24"/>
          <w:szCs w:val="24"/>
          <w:highlight w:val="white"/>
        </w:rPr>
        <w:t>социальному страхованию от несчастных случаев на производстве и профессиональных заболеваний, а также по расходам на выплату страхового обеспечения (страница №1 Формы-4 ФСС), за истекший расчетный год с отметкой органа контроля за уплатой страховых взносов</w:t>
      </w:r>
      <w:r>
        <w:rPr>
          <w:sz w:val="24"/>
          <w:szCs w:val="24"/>
          <w:highlight w:val="white"/>
        </w:rPr>
        <w:t xml:space="preserve">. Для вновь созданных организаций  </w:t>
      </w:r>
    </w:p>
    <w:p w:rsidR="00AC4E47" w:rsidRDefault="00262F2A">
      <w:pPr>
        <w:widowControl/>
        <w:numPr>
          <w:ilvl w:val="0"/>
          <w:numId w:val="3"/>
        </w:numPr>
        <w:ind w:left="0" w:firstLine="567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расчёт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</w:t>
      </w:r>
      <w:r>
        <w:rPr>
          <w:sz w:val="24"/>
          <w:szCs w:val="24"/>
          <w:highlight w:val="white"/>
        </w:rPr>
        <w:t>в на производстве и профессиональных заболеваний, а также по расходам на выплату страхового обеспечения (страница №1 Формы-4 ФСС), за последний отчетный период текущего года с отметкой органа контроля;</w:t>
      </w:r>
    </w:p>
    <w:p w:rsidR="00AC4E47" w:rsidRDefault="00262F2A">
      <w:pPr>
        <w:pStyle w:val="af9"/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документ, подтверждающий включение Контрагента в единый реестр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Российской Федерации» (в случае, если Контрагент является СМСП). Дата составления указанного документа не должна превышать 10 (десять) календарных дней до даты согласования Договора (если применимо).</w:t>
      </w:r>
      <w:r>
        <w:rPr>
          <w:rFonts w:ascii="Times New Roman" w:eastAsia="Times New Roman" w:hAnsi="Times New Roman"/>
          <w:color w:val="000000"/>
          <w:sz w:val="24"/>
          <w:szCs w:val="24"/>
          <w:highlight w:val="white"/>
        </w:rPr>
        <w:t xml:space="preserve"> </w:t>
      </w:r>
    </w:p>
    <w:p w:rsidR="00AC4E47" w:rsidRDefault="00AC4E47">
      <w:pPr>
        <w:widowControl/>
        <w:ind w:firstLine="567"/>
        <w:contextualSpacing/>
        <w:jc w:val="both"/>
        <w:rPr>
          <w:color w:val="000000"/>
          <w:sz w:val="24"/>
          <w:szCs w:val="24"/>
          <w:highlight w:val="white"/>
        </w:rPr>
      </w:pPr>
      <w:bookmarkStart w:id="0" w:name="_GoBack"/>
      <w:bookmarkEnd w:id="0"/>
    </w:p>
    <w:sectPr w:rsidR="00AC4E47">
      <w:pgSz w:w="11906" w:h="16838"/>
      <w:pgMar w:top="567" w:right="850" w:bottom="68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F2A" w:rsidRDefault="00262F2A">
      <w:r>
        <w:separator/>
      </w:r>
    </w:p>
  </w:endnote>
  <w:endnote w:type="continuationSeparator" w:id="0">
    <w:p w:rsidR="00262F2A" w:rsidRDefault="0026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F2A" w:rsidRDefault="00262F2A">
      <w:r>
        <w:separator/>
      </w:r>
    </w:p>
  </w:footnote>
  <w:footnote w:type="continuationSeparator" w:id="0">
    <w:p w:rsidR="00262F2A" w:rsidRDefault="00262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9BC"/>
    <w:multiLevelType w:val="hybridMultilevel"/>
    <w:tmpl w:val="4EEE860E"/>
    <w:lvl w:ilvl="0" w:tplc="35B0044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E058489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04688BC6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D5EEA47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04D0EF4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77A6B21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833E4EC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3F761F1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E050131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98A7992"/>
    <w:multiLevelType w:val="hybridMultilevel"/>
    <w:tmpl w:val="41A8143A"/>
    <w:lvl w:ilvl="0" w:tplc="3674643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711E1E0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F040B4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406AF3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56004E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EEEF08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DFA4F4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120987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1DC5ED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752CB6"/>
    <w:multiLevelType w:val="hybridMultilevel"/>
    <w:tmpl w:val="DC28952C"/>
    <w:lvl w:ilvl="0" w:tplc="34B44D0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53880102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E3B677CE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8E1E9910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89E8ECB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EDD8F56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0AFE311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8708C1F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258E4526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3046E93"/>
    <w:multiLevelType w:val="hybridMultilevel"/>
    <w:tmpl w:val="8230E466"/>
    <w:lvl w:ilvl="0" w:tplc="B166131C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729EB364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AFCA6FDC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CB4CD63E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81DC5C28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D9F04472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B8C0164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9298576E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891A0CBC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3B1319C8"/>
    <w:multiLevelType w:val="hybridMultilevel"/>
    <w:tmpl w:val="9CC018D6"/>
    <w:lvl w:ilvl="0" w:tplc="5044B6D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E1A2A98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C4CFB4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EC2901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9F0E19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FB0730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1D83C6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E7E71C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A56D63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FD96E25"/>
    <w:multiLevelType w:val="hybridMultilevel"/>
    <w:tmpl w:val="9B347F08"/>
    <w:lvl w:ilvl="0" w:tplc="F2F09076">
      <w:start w:val="1"/>
      <w:numFmt w:val="decimal"/>
      <w:lvlText w:val="4.3.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83804158">
      <w:start w:val="1"/>
      <w:numFmt w:val="lowerLetter"/>
      <w:lvlText w:val="%2."/>
      <w:lvlJc w:val="left"/>
      <w:pPr>
        <w:ind w:left="1648" w:hanging="360"/>
      </w:pPr>
    </w:lvl>
    <w:lvl w:ilvl="2" w:tplc="569C2CDE">
      <w:start w:val="1"/>
      <w:numFmt w:val="lowerRoman"/>
      <w:lvlText w:val="%3."/>
      <w:lvlJc w:val="right"/>
      <w:pPr>
        <w:ind w:left="2368" w:hanging="180"/>
      </w:pPr>
    </w:lvl>
    <w:lvl w:ilvl="3" w:tplc="C84E07A6">
      <w:start w:val="1"/>
      <w:numFmt w:val="decimal"/>
      <w:lvlText w:val="%4."/>
      <w:lvlJc w:val="left"/>
      <w:pPr>
        <w:ind w:left="3088" w:hanging="360"/>
      </w:pPr>
    </w:lvl>
    <w:lvl w:ilvl="4" w:tplc="C58AB706">
      <w:start w:val="1"/>
      <w:numFmt w:val="lowerLetter"/>
      <w:lvlText w:val="%5."/>
      <w:lvlJc w:val="left"/>
      <w:pPr>
        <w:ind w:left="3808" w:hanging="360"/>
      </w:pPr>
    </w:lvl>
    <w:lvl w:ilvl="5" w:tplc="03088FEA">
      <w:start w:val="1"/>
      <w:numFmt w:val="lowerRoman"/>
      <w:lvlText w:val="%6."/>
      <w:lvlJc w:val="right"/>
      <w:pPr>
        <w:ind w:left="4528" w:hanging="180"/>
      </w:pPr>
    </w:lvl>
    <w:lvl w:ilvl="6" w:tplc="8CC60AE2">
      <w:start w:val="1"/>
      <w:numFmt w:val="decimal"/>
      <w:lvlText w:val="%7."/>
      <w:lvlJc w:val="left"/>
      <w:pPr>
        <w:ind w:left="5248" w:hanging="360"/>
      </w:pPr>
    </w:lvl>
    <w:lvl w:ilvl="7" w:tplc="E9C613F0">
      <w:start w:val="1"/>
      <w:numFmt w:val="lowerLetter"/>
      <w:lvlText w:val="%8."/>
      <w:lvlJc w:val="left"/>
      <w:pPr>
        <w:ind w:left="5968" w:hanging="360"/>
      </w:pPr>
    </w:lvl>
    <w:lvl w:ilvl="8" w:tplc="4F96AE98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4247B16"/>
    <w:multiLevelType w:val="hybridMultilevel"/>
    <w:tmpl w:val="85BC094E"/>
    <w:lvl w:ilvl="0" w:tplc="6F487CD8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0128A24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0AD60A60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52E8F6A0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01FC7D9C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59128F5E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A454C66A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5E7A078E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37C01F1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47"/>
    <w:rsid w:val="00262F2A"/>
    <w:rsid w:val="00904537"/>
    <w:rsid w:val="00AC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D23A4-99AF-49F3-BEEB-E7A1799D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widowControl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1160</Words>
  <Characters>6614</Characters>
  <Application>Microsoft Office Word</Application>
  <DocSecurity>0</DocSecurity>
  <Lines>55</Lines>
  <Paragraphs>15</Paragraphs>
  <ScaleCrop>false</ScaleCrop>
  <Company>Мосэнерго</Company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Панушкина Олеся Федоровна</dc:creator>
  <cp:lastModifiedBy>Мирошина Екатерина Александровна</cp:lastModifiedBy>
  <cp:revision>5</cp:revision>
  <dcterms:created xsi:type="dcterms:W3CDTF">2024-08-02T11:38:00Z</dcterms:created>
  <dcterms:modified xsi:type="dcterms:W3CDTF">2025-03-20T10:10:00Z</dcterms:modified>
</cp:coreProperties>
</file>